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391"/>
      </w:tblGrid>
      <w:tr w:rsidR="00543C27" w:rsidTr="00543C27">
        <w:trPr>
          <w:trHeight w:val="330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cs-CZ"/>
              </w:rPr>
              <w:t>Základní škola a Mateřská škola Jana Amose Komenského, Komňa 169</w:t>
            </w:r>
          </w:p>
        </w:tc>
      </w:tr>
      <w:tr w:rsidR="00543C27" w:rsidTr="00543C27">
        <w:trPr>
          <w:trHeight w:val="496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40"/>
                <w:u w:val="single"/>
                <w:lang w:eastAsia="cs-CZ"/>
              </w:rPr>
              <w:t>ORGANIZAČNÍ ŘÁD ŠKOLY</w:t>
            </w:r>
          </w:p>
        </w:tc>
      </w:tr>
      <w:tr w:rsidR="00543C27" w:rsidTr="00543C27">
        <w:trPr>
          <w:trHeight w:val="661"/>
        </w:trPr>
        <w:tc>
          <w:tcPr>
            <w:tcW w:w="8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cs-CZ"/>
              </w:rPr>
              <w:t>část 12:</w:t>
            </w: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36"/>
                <w:szCs w:val="36"/>
                <w:lang w:eastAsia="cs-CZ"/>
              </w:rPr>
              <w:t xml:space="preserve"> Kritéria pro přijímání dětí do mateřské</w:t>
            </w:r>
          </w:p>
        </w:tc>
      </w:tr>
      <w:tr w:rsidR="00543C27" w:rsidTr="00543C27">
        <w:trPr>
          <w:trHeight w:val="661"/>
        </w:trPr>
        <w:tc>
          <w:tcPr>
            <w:tcW w:w="8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43C27" w:rsidRDefault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36"/>
                <w:szCs w:val="36"/>
                <w:lang w:eastAsia="cs-CZ"/>
              </w:rPr>
              <w:t>školy pro školní rok 2018/2019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B050"/>
                <w:sz w:val="24"/>
                <w:szCs w:val="24"/>
                <w:lang w:eastAsia="cs-CZ"/>
              </w:rPr>
              <w:t>Čj.: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B050"/>
                <w:sz w:val="24"/>
                <w:szCs w:val="24"/>
                <w:lang w:eastAsia="cs-CZ"/>
              </w:rPr>
              <w:t>1031/2018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Vypracoval: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Ivana Dubovská, ředitelka školy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Dne: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 w:rsidP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744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7. 04. 2018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Pedagogická rada projednala dne: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09. 04. 2018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Platnost ode dne: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09. 04. 2018</w:t>
            </w:r>
          </w:p>
        </w:tc>
      </w:tr>
      <w:tr w:rsidR="00543C27" w:rsidTr="00543C27">
        <w:trPr>
          <w:trHeight w:val="3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543C2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3C27" w:rsidRDefault="00A744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cs-CZ"/>
              </w:rPr>
              <w:t>09. 04. 2018</w:t>
            </w:r>
          </w:p>
        </w:tc>
      </w:tr>
    </w:tbl>
    <w:p w:rsidR="00543C27" w:rsidRDefault="00543C27" w:rsidP="00543C27">
      <w:pPr>
        <w:rPr>
          <w:rFonts w:ascii="Garamond" w:hAnsi="Garamond" w:cs="Times New Roman"/>
          <w:sz w:val="24"/>
          <w:szCs w:val="24"/>
        </w:rPr>
      </w:pPr>
    </w:p>
    <w:p w:rsidR="00543C27" w:rsidRDefault="005E4222" w:rsidP="00C80D7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základě § 34, zákona </w:t>
      </w:r>
      <w:r w:rsidR="00543C27">
        <w:rPr>
          <w:rFonts w:ascii="Garamond" w:hAnsi="Garamond" w:cs="Times New Roman"/>
          <w:sz w:val="24"/>
          <w:szCs w:val="24"/>
        </w:rPr>
        <w:t xml:space="preserve"> 561/2004 Sb., o předškolním, základním, středním, vyšším odborném a jiném vzdělávání (školský </w:t>
      </w:r>
      <w:proofErr w:type="gramStart"/>
      <w:r w:rsidR="00543C27">
        <w:rPr>
          <w:rFonts w:ascii="Garamond" w:hAnsi="Garamond" w:cs="Times New Roman"/>
          <w:sz w:val="24"/>
          <w:szCs w:val="24"/>
        </w:rPr>
        <w:t>zákon),</w:t>
      </w:r>
      <w:r>
        <w:rPr>
          <w:rFonts w:ascii="Garamond" w:hAnsi="Garamond" w:cs="Times New Roman"/>
          <w:sz w:val="24"/>
          <w:szCs w:val="24"/>
        </w:rPr>
        <w:t>a vyhlášky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č.14/2005 Sb.,</w:t>
      </w:r>
      <w:r w:rsidR="00543C27">
        <w:rPr>
          <w:rFonts w:ascii="Garamond" w:hAnsi="Garamond" w:cs="Times New Roman"/>
          <w:sz w:val="24"/>
          <w:szCs w:val="24"/>
        </w:rPr>
        <w:t xml:space="preserve"> v platném znění, stanovuje ředitelka Základní školy a Mateřské školy Jana Amose Komenského v </w:t>
      </w:r>
      <w:proofErr w:type="spellStart"/>
      <w:r w:rsidR="00543C27">
        <w:rPr>
          <w:rFonts w:ascii="Garamond" w:hAnsi="Garamond" w:cs="Times New Roman"/>
          <w:sz w:val="24"/>
          <w:szCs w:val="24"/>
        </w:rPr>
        <w:t>Komni</w:t>
      </w:r>
      <w:proofErr w:type="spellEnd"/>
      <w:r w:rsidR="00543C27">
        <w:rPr>
          <w:rFonts w:ascii="Garamond" w:hAnsi="Garamond" w:cs="Times New Roman"/>
          <w:sz w:val="24"/>
          <w:szCs w:val="24"/>
        </w:rPr>
        <w:t xml:space="preserve"> následující kritéria, podle kterých bude postupovat při rozhodování o přijetí dítěte k předškolnímu vzdělávání v mateřské škole v případech, kdy počet žádostí podaných zákonnými zástupci dětí o přijetí k předškolnímu vzdělávání překročí stanovenou kapacitu maximálního počtu dětí pro mateřskou školu.</w:t>
      </w:r>
    </w:p>
    <w:p w:rsidR="00543C27" w:rsidRDefault="00543C27" w:rsidP="00543C27">
      <w:pPr>
        <w:jc w:val="center"/>
        <w:rPr>
          <w:rFonts w:ascii="Garamond" w:hAnsi="Garamond" w:cs="Times New Roman"/>
          <w:b/>
          <w:color w:val="FF0000"/>
          <w:sz w:val="32"/>
          <w:szCs w:val="32"/>
          <w:u w:val="single"/>
        </w:rPr>
      </w:pPr>
      <w:r>
        <w:rPr>
          <w:rFonts w:ascii="Garamond" w:hAnsi="Garamond" w:cs="Times New Roman"/>
          <w:b/>
          <w:color w:val="FF0000"/>
          <w:sz w:val="32"/>
          <w:szCs w:val="32"/>
          <w:u w:val="single"/>
        </w:rPr>
        <w:t>Kritéria po přijetí dítěte do MŠ</w:t>
      </w:r>
    </w:p>
    <w:p w:rsidR="00543C27" w:rsidRDefault="005E4222" w:rsidP="00C80D7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 případ, že počet žádostí o přijetí převýší počet volných míst, stanovuje ředitelka školy níže uvedená kritéria. </w:t>
      </w:r>
      <w:r w:rsidR="00543C27">
        <w:rPr>
          <w:rFonts w:ascii="Garamond" w:hAnsi="Garamond" w:cs="Times New Roman"/>
          <w:sz w:val="24"/>
          <w:szCs w:val="24"/>
        </w:rPr>
        <w:t>Jednotlivá kritéria jsou ohodnocena určeným počtem bodů podle jejich důležitosti. Pořadí přijatých dětí se řídí výsledným součtem bodů jednotlivých kritérií.</w:t>
      </w:r>
    </w:p>
    <w:p w:rsidR="005E4222" w:rsidRDefault="005E4222" w:rsidP="0080008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souladu s §34, </w:t>
      </w:r>
      <w:proofErr w:type="gramStart"/>
      <w:r>
        <w:rPr>
          <w:rFonts w:ascii="Garamond" w:hAnsi="Garamond" w:cs="Times New Roman"/>
          <w:sz w:val="24"/>
          <w:szCs w:val="24"/>
        </w:rPr>
        <w:t>odst.5 zákona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č.561/2004 Sb., školský zákon v platném znění a §50 zákona č.258/2000 Sb., o ochraně veřejného zdraví v platném znění, </w:t>
      </w:r>
      <w:r w:rsidRPr="006D1E55">
        <w:rPr>
          <w:rFonts w:ascii="Garamond" w:hAnsi="Garamond" w:cs="Times New Roman"/>
          <w:b/>
          <w:sz w:val="24"/>
          <w:szCs w:val="24"/>
        </w:rPr>
        <w:t>může mateřská škola, s výjimkou zařízení do nichž je docházka povinná, přijmout pouze dítě, které se podrobilo stanoveným pravidelným očkováním</w:t>
      </w:r>
      <w:r>
        <w:rPr>
          <w:rFonts w:ascii="Garamond" w:hAnsi="Garamond" w:cs="Times New Roman"/>
          <w:sz w:val="24"/>
          <w:szCs w:val="24"/>
        </w:rPr>
        <w:t xml:space="preserve">, případně má </w:t>
      </w:r>
      <w:r w:rsidR="006D1E55">
        <w:rPr>
          <w:rFonts w:ascii="Garamond" w:hAnsi="Garamond" w:cs="Times New Roman"/>
          <w:sz w:val="24"/>
          <w:szCs w:val="24"/>
        </w:rPr>
        <w:t>doklad, že je proti nákaze imunní, nebo se nemůže očkování podrobit pro trvalou kontraindikaci.</w:t>
      </w:r>
      <w:r w:rsidR="00C80D77">
        <w:rPr>
          <w:rFonts w:ascii="Garamond" w:hAnsi="Garamond" w:cs="Times New Roman"/>
          <w:sz w:val="24"/>
          <w:szCs w:val="24"/>
        </w:rPr>
        <w:t xml:space="preserve"> </w:t>
      </w: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Žádost o umístění dítěte k předškolnímu vzdělávání se podává na ředitelství ZŠ a MŠ v </w:t>
      </w:r>
      <w:proofErr w:type="spellStart"/>
      <w:r>
        <w:rPr>
          <w:rFonts w:ascii="Garamond" w:hAnsi="Garamond" w:cs="Times New Roman"/>
          <w:sz w:val="24"/>
          <w:szCs w:val="24"/>
        </w:rPr>
        <w:t>Komni</w:t>
      </w:r>
      <w:proofErr w:type="spellEnd"/>
      <w:r>
        <w:rPr>
          <w:rFonts w:ascii="Garamond" w:hAnsi="Garamond" w:cs="Times New Roman"/>
          <w:sz w:val="24"/>
          <w:szCs w:val="24"/>
        </w:rPr>
        <w:t>, pracoviště mateřské školy.</w:t>
      </w:r>
      <w:r w:rsidR="00C80D77">
        <w:rPr>
          <w:rFonts w:ascii="Garamond" w:hAnsi="Garamond" w:cs="Times New Roman"/>
          <w:sz w:val="24"/>
          <w:szCs w:val="24"/>
        </w:rPr>
        <w:t xml:space="preserve"> Přijímání vyplněn</w:t>
      </w:r>
      <w:r w:rsidR="00A7441E">
        <w:rPr>
          <w:rFonts w:ascii="Garamond" w:hAnsi="Garamond" w:cs="Times New Roman"/>
          <w:sz w:val="24"/>
          <w:szCs w:val="24"/>
        </w:rPr>
        <w:t>ých žádostí v mateřské škole: 03.05.2018</w:t>
      </w:r>
      <w:r w:rsidR="00C80D77">
        <w:rPr>
          <w:rFonts w:ascii="Garamond" w:hAnsi="Garamond" w:cs="Times New Roman"/>
          <w:sz w:val="24"/>
          <w:szCs w:val="24"/>
        </w:rPr>
        <w:t xml:space="preserve">   8.00 – 16.00 hodin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7172"/>
        <w:gridCol w:w="1383"/>
      </w:tblGrid>
      <w:tr w:rsidR="00543C27" w:rsidTr="00406A1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543C2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Poslední rok před zahájením povinné docházky do základní školy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– tj. děti, které dosáhnou věku 5 let do 31.</w:t>
            </w:r>
            <w:r w:rsidR="00406A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08.</w:t>
            </w:r>
            <w:r w:rsidR="00406A1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 xml:space="preserve">8 </w:t>
            </w:r>
            <w:r w:rsidR="00543C27" w:rsidRPr="00406A1E">
              <w:rPr>
                <w:rFonts w:ascii="Garamond" w:hAnsi="Garamond" w:cs="Times New Roman"/>
                <w:b/>
                <w:sz w:val="28"/>
                <w:szCs w:val="28"/>
              </w:rPr>
              <w:t>bodů</w:t>
            </w:r>
          </w:p>
        </w:tc>
      </w:tr>
      <w:tr w:rsidR="00543C27" w:rsidTr="00406A1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543C2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Trvalý pobyt v příslušném školském obvodu dané MŠ u dítěte, které dosáhlo věku minimálně 4 let k 31.</w:t>
            </w:r>
            <w:r w:rsidR="00406A1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08.</w:t>
            </w:r>
            <w:r w:rsidR="00406A1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1 bod</w:t>
            </w:r>
          </w:p>
        </w:tc>
      </w:tr>
      <w:tr w:rsidR="00C80D77" w:rsidTr="00406A1E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D77" w:rsidRDefault="00C80D77" w:rsidP="00F8577F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  <w:p w:rsidR="00C80D77" w:rsidRDefault="00C80D77" w:rsidP="00F8577F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Věk</w:t>
            </w:r>
          </w:p>
          <w:p w:rsidR="00C80D77" w:rsidRDefault="00C80D77" w:rsidP="00F8577F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dítěte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4 roky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31.08.2017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3 body</w:t>
            </w:r>
          </w:p>
        </w:tc>
      </w:tr>
      <w:tr w:rsidR="00C80D77" w:rsidTr="00406A1E"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0D7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3 roky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31.08.2017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7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2 body</w:t>
            </w:r>
          </w:p>
        </w:tc>
      </w:tr>
      <w:tr w:rsidR="00C80D77" w:rsidTr="00406A1E"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2 roky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dosažené k 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31.08.2017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7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1 bod</w:t>
            </w:r>
          </w:p>
        </w:tc>
      </w:tr>
      <w:tr w:rsidR="00543C27" w:rsidTr="00406A1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543C2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 xml:space="preserve">Bydliště dítěte v </w:t>
            </w:r>
            <w:proofErr w:type="spellStart"/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Komni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2</w:t>
            </w:r>
            <w:r w:rsidR="00543C27" w:rsidRPr="00406A1E">
              <w:rPr>
                <w:rFonts w:ascii="Garamond" w:hAnsi="Garamond" w:cs="Times New Roman"/>
                <w:b/>
                <w:sz w:val="28"/>
                <w:szCs w:val="28"/>
              </w:rPr>
              <w:t xml:space="preserve"> bod</w:t>
            </w: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y</w:t>
            </w:r>
          </w:p>
        </w:tc>
      </w:tr>
      <w:tr w:rsidR="00543C27" w:rsidTr="00406A1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543C2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Default="00C80D77">
            <w:pPr>
              <w:pStyle w:val="Odstavecseseznamem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406A1E">
              <w:rPr>
                <w:rFonts w:ascii="Garamond" w:hAnsi="Garamond" w:cs="Times New Roman"/>
                <w:b/>
                <w:sz w:val="24"/>
                <w:szCs w:val="24"/>
              </w:rPr>
              <w:t>Sourozenec,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který je již v MŠ přijatý a bude se v dané MŠ vzdělávat i </w:t>
            </w:r>
            <w:r w:rsidR="00A7441E">
              <w:rPr>
                <w:rFonts w:ascii="Garamond" w:hAnsi="Garamond" w:cs="Times New Roman"/>
                <w:sz w:val="24"/>
                <w:szCs w:val="24"/>
              </w:rPr>
              <w:t>v následujícím školním roce 2018/2019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27" w:rsidRPr="00406A1E" w:rsidRDefault="00C80D77">
            <w:pPr>
              <w:pStyle w:val="Odstavecseseznamem"/>
              <w:ind w:left="0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406A1E">
              <w:rPr>
                <w:rFonts w:ascii="Garamond" w:hAnsi="Garamond" w:cs="Times New Roman"/>
                <w:b/>
                <w:sz w:val="28"/>
                <w:szCs w:val="28"/>
              </w:rPr>
              <w:t>1 bod</w:t>
            </w:r>
          </w:p>
        </w:tc>
      </w:tr>
    </w:tbl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43C27" w:rsidRDefault="00543C27" w:rsidP="00543C27">
      <w:pPr>
        <w:pStyle w:val="Odstavecseseznamem"/>
        <w:ind w:left="851"/>
        <w:jc w:val="center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lastRenderedPageBreak/>
        <w:t>UPŘESNĚNÍ PODMÍNEK PRO PŘIJETÍ A UKONČENÍ VZDĚLÁVÁNÍ DÍTĚTE V MATEŘSKÉ ŠKOLE</w:t>
      </w: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406A1E" w:rsidRDefault="00406A1E" w:rsidP="00543C27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Každému žadateli (dítěti) budou přiděleny body za splněná kritéria</w:t>
      </w:r>
    </w:p>
    <w:p w:rsidR="00406A1E" w:rsidRDefault="00406A1E" w:rsidP="00543C27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Podle počtu přidělených bodů bude stanoveno pořadí žadatelů. </w:t>
      </w:r>
    </w:p>
    <w:p w:rsidR="00406A1E" w:rsidRDefault="00406A1E" w:rsidP="00543C27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Žadatelé se shodným počtem přidělených bodů budou dále řazeni podle data narození (od nejstaršího po nejmladší)</w:t>
      </w:r>
    </w:p>
    <w:p w:rsidR="00406A1E" w:rsidRDefault="00406A1E" w:rsidP="00543C27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přijímacího řízení budou zařazeny je</w:t>
      </w:r>
      <w:r w:rsidR="00A7441E">
        <w:rPr>
          <w:rFonts w:ascii="Garamond" w:hAnsi="Garamond" w:cs="Times New Roman"/>
          <w:sz w:val="24"/>
          <w:szCs w:val="24"/>
        </w:rPr>
        <w:t>n</w:t>
      </w:r>
      <w:r>
        <w:rPr>
          <w:rFonts w:ascii="Garamond" w:hAnsi="Garamond" w:cs="Times New Roman"/>
          <w:sz w:val="24"/>
          <w:szCs w:val="24"/>
        </w:rPr>
        <w:t xml:space="preserve"> žádosti dětí, které dovršily </w:t>
      </w:r>
      <w:r w:rsidR="00A7441E">
        <w:rPr>
          <w:rFonts w:ascii="Garamond" w:hAnsi="Garamond" w:cs="Times New Roman"/>
          <w:sz w:val="24"/>
          <w:szCs w:val="24"/>
        </w:rPr>
        <w:t>minimálně 2 roky do 31. 08. 2018</w:t>
      </w:r>
    </w:p>
    <w:p w:rsidR="00543C27" w:rsidRPr="00406A1E" w:rsidRDefault="00543C27" w:rsidP="00406A1E">
      <w:pPr>
        <w:pStyle w:val="Odstavecseseznamem"/>
        <w:numPr>
          <w:ilvl w:val="0"/>
          <w:numId w:val="2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vzhledem ke specifikům a potřebám malé vesnické heterogenní školy přistupujeme k možnosti zařadit do kolektivu mateřské školy i děti mezi 2. a 3. rokem věku a to za těchto podmínek:</w:t>
      </w:r>
    </w:p>
    <w:p w:rsidR="00543C27" w:rsidRDefault="00543C27" w:rsidP="00543C27">
      <w:pPr>
        <w:pStyle w:val="Odstavecseseznamem"/>
        <w:numPr>
          <w:ilvl w:val="0"/>
          <w:numId w:val="3"/>
        </w:numPr>
        <w:ind w:firstLine="13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pokud dítě dosáhne před nástupem do mateřské školy věku minimálně 2 let</w:t>
      </w:r>
    </w:p>
    <w:p w:rsidR="00543C27" w:rsidRDefault="00543C27" w:rsidP="00543C27">
      <w:pPr>
        <w:pStyle w:val="Odstavecseseznamem"/>
        <w:numPr>
          <w:ilvl w:val="0"/>
          <w:numId w:val="3"/>
        </w:numPr>
        <w:ind w:firstLine="13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pokud dítě zvládá základní návyky sebeobsluh</w:t>
      </w:r>
      <w:r w:rsidR="00406A1E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>, hygieny a stolování</w:t>
      </w:r>
    </w:p>
    <w:p w:rsidR="00543C27" w:rsidRDefault="00543C27" w:rsidP="00543C27">
      <w:pPr>
        <w:pStyle w:val="Odstavecseseznamem"/>
        <w:numPr>
          <w:ilvl w:val="0"/>
          <w:numId w:val="3"/>
        </w:numPr>
        <w:ind w:firstLine="13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dítě je do mateřské školy přijato vždy nejprve na</w:t>
      </w:r>
      <w:r w:rsidR="00406A1E">
        <w:rPr>
          <w:rFonts w:ascii="Garamond" w:hAnsi="Garamond" w:cs="Times New Roman"/>
          <w:sz w:val="24"/>
          <w:szCs w:val="24"/>
        </w:rPr>
        <w:t xml:space="preserve"> zkušební pobyt po dobu 3 </w:t>
      </w:r>
    </w:p>
    <w:p w:rsidR="00406A1E" w:rsidRDefault="00406A1E" w:rsidP="00406A1E">
      <w:pPr>
        <w:pStyle w:val="Odstavecseseznamem"/>
        <w:ind w:left="141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měsíců.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zápis dětí do mateřské školy pro následující školní rok probíhá po dohodě se zřizo</w:t>
      </w:r>
      <w:r w:rsidR="00406A1E">
        <w:rPr>
          <w:rFonts w:ascii="Garamond" w:hAnsi="Garamond" w:cs="Times New Roman"/>
          <w:sz w:val="24"/>
          <w:szCs w:val="24"/>
        </w:rPr>
        <w:t>vatelem zpravidla v měsíci květnu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děti mohou být do mateřské školy přijímány i v průběhu školního roku, pokud to dovoluje kapacita školy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 přijetí dítěte do mateřské školy rozhoduje ředitelka školy ve správním řízení na základě písemné žádosti rodičů, v žádosti je nutno uvést vyjádření lékaře ke zdravotnímu stavu dítěte a potvrzení o řádném očkování, předložit rodný list dítěte a občanský průkaz zákonného zástupce nebo průkaz opravňující k trvalému pobytu na území ČR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rozhodnutí o přijetí či nepřijetí dítěte k předškolnímu vzdělávání se vydává do 30 dnů od předání uvedených dokladů ředitelce školy a předává se zákonnému zástupci dle dohody osobně proti podpisu v MŠ nebo poštou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je-li počet přihlášených dětí vyšší než lze přijmout dle vyhlášky č. 14/2005 Sb. o předškolním vzdělávání v platném znění, rozhoduje ředitelka o přijetí dle předem stanovených kritérií.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 zařazení dítěte se zdravotním postižením rozhoduje ředitelka školy na základě písemného vyjádření školského poradenského zařízení, popřípadě praktického lékaře pro děti a dorost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při přijetí dítěte k předškolnímu vzdělávání může ředitelka školy sjednat se zákonným zástupcem zkušební pobyt dítěte v mateřské škole v délce nejvýše 3 měsíců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dítě je zapsané v mateřské škole až po nabytí právní moci rozhodnutí o přijetí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při přijetí dítěte zákonní zástupci vyplní údaje v evidenčním listu (podklady pro školní matriku)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 přijetí dítěte stanoví ředitelka školy po dohodě se zákonnými zástupci dítěte dny docházky do mateřské školy a délku pobytu v těchto dnech v mateřské škole a zároveň dohodne se zákonnými zástupci dítěte způsob a rozsah jeho stravování</w:t>
      </w:r>
      <w:r w:rsidR="00406A1E">
        <w:rPr>
          <w:rFonts w:ascii="Garamond" w:hAnsi="Garamond" w:cs="Times New Roman"/>
          <w:sz w:val="24"/>
          <w:szCs w:val="24"/>
        </w:rPr>
        <w:t xml:space="preserve"> a způsob omlouvání dítěte 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před nástupem dítěte do kolektivu lze domluvit v rámci adaptace krátké návštěvy rodičů s dítětem v mateřské škole (při hrách, pobytu na zahradě, při mimoškolních akcích)</w:t>
      </w:r>
    </w:p>
    <w:p w:rsidR="00543C27" w:rsidRDefault="00543C27" w:rsidP="00543C27">
      <w:pPr>
        <w:pStyle w:val="Odstavecseseznamem"/>
        <w:numPr>
          <w:ilvl w:val="0"/>
          <w:numId w:val="4"/>
        </w:numPr>
        <w:ind w:left="851" w:hanging="425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informace o dítěti jsou důsledně využívány pouze pro vnitřní potřebu školy, oprávněné orgány správní správy a samosprávy pro potřebu uplatnění zákona č. 106/1999 Sb. o svobodném přístupu k informacím, v platném znění.</w:t>
      </w: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Tato krit</w:t>
      </w:r>
      <w:r w:rsidR="00A7441E">
        <w:rPr>
          <w:rFonts w:ascii="Garamond" w:hAnsi="Garamond" w:cs="Times New Roman"/>
          <w:sz w:val="24"/>
          <w:szCs w:val="24"/>
        </w:rPr>
        <w:t>éria nabývají platnosti dnem:</w:t>
      </w:r>
      <w:r w:rsidR="00A7441E">
        <w:rPr>
          <w:rFonts w:ascii="Garamond" w:hAnsi="Garamond" w:cs="Times New Roman"/>
          <w:sz w:val="24"/>
          <w:szCs w:val="24"/>
        </w:rPr>
        <w:tab/>
        <w:t xml:space="preserve"> 09. dubna 2018</w:t>
      </w: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Tato kritéria nabývaj</w:t>
      </w:r>
      <w:r w:rsidR="00A7441E">
        <w:rPr>
          <w:rFonts w:ascii="Garamond" w:hAnsi="Garamond" w:cs="Times New Roman"/>
          <w:sz w:val="24"/>
          <w:szCs w:val="24"/>
        </w:rPr>
        <w:t>í účinnosti dnem:</w:t>
      </w:r>
      <w:r w:rsidR="00A7441E">
        <w:rPr>
          <w:rFonts w:ascii="Garamond" w:hAnsi="Garamond" w:cs="Times New Roman"/>
          <w:sz w:val="24"/>
          <w:szCs w:val="24"/>
        </w:rPr>
        <w:tab/>
        <w:t xml:space="preserve"> 09. dubna 2018</w:t>
      </w: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43C27" w:rsidRDefault="00543C27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</w:p>
    <w:p w:rsidR="00543C27" w:rsidRDefault="00A7441E" w:rsidP="00543C27">
      <w:pPr>
        <w:pStyle w:val="Odstavecseseznamem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 </w:t>
      </w:r>
      <w:proofErr w:type="spellStart"/>
      <w:r>
        <w:rPr>
          <w:rFonts w:ascii="Garamond" w:hAnsi="Garamond" w:cs="Times New Roman"/>
          <w:sz w:val="24"/>
          <w:szCs w:val="24"/>
        </w:rPr>
        <w:t>Komni</w:t>
      </w:r>
      <w:proofErr w:type="spellEnd"/>
      <w:r>
        <w:rPr>
          <w:rFonts w:ascii="Garamond" w:hAnsi="Garamond" w:cs="Times New Roman"/>
          <w:sz w:val="24"/>
          <w:szCs w:val="24"/>
        </w:rPr>
        <w:t>, 07. dubna 2018</w:t>
      </w:r>
    </w:p>
    <w:p w:rsidR="005E0033" w:rsidRDefault="005E0033">
      <w:bookmarkStart w:id="0" w:name="_GoBack"/>
      <w:bookmarkEnd w:id="0"/>
    </w:p>
    <w:sectPr w:rsidR="005E0033" w:rsidSect="0080008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D" w:rsidRDefault="0019472D" w:rsidP="00800089">
      <w:pPr>
        <w:spacing w:after="0" w:line="240" w:lineRule="auto"/>
      </w:pPr>
      <w:r>
        <w:separator/>
      </w:r>
    </w:p>
  </w:endnote>
  <w:endnote w:type="continuationSeparator" w:id="0">
    <w:p w:rsidR="0019472D" w:rsidRDefault="0019472D" w:rsidP="008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449693"/>
      <w:docPartObj>
        <w:docPartGallery w:val="Page Numbers (Bottom of Page)"/>
        <w:docPartUnique/>
      </w:docPartObj>
    </w:sdtPr>
    <w:sdtEndPr/>
    <w:sdtContent>
      <w:p w:rsidR="00800089" w:rsidRDefault="008000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41E">
          <w:rPr>
            <w:noProof/>
          </w:rPr>
          <w:t>1</w:t>
        </w:r>
        <w:r>
          <w:fldChar w:fldCharType="end"/>
        </w:r>
      </w:p>
    </w:sdtContent>
  </w:sdt>
  <w:p w:rsidR="00800089" w:rsidRDefault="00800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D" w:rsidRDefault="0019472D" w:rsidP="00800089">
      <w:pPr>
        <w:spacing w:after="0" w:line="240" w:lineRule="auto"/>
      </w:pPr>
      <w:r>
        <w:separator/>
      </w:r>
    </w:p>
  </w:footnote>
  <w:footnote w:type="continuationSeparator" w:id="0">
    <w:p w:rsidR="0019472D" w:rsidRDefault="0019472D" w:rsidP="0080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65"/>
    <w:multiLevelType w:val="hybridMultilevel"/>
    <w:tmpl w:val="275C51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43400"/>
    <w:multiLevelType w:val="hybridMultilevel"/>
    <w:tmpl w:val="38E8A68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9D785A"/>
    <w:multiLevelType w:val="hybridMultilevel"/>
    <w:tmpl w:val="905E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408"/>
    <w:multiLevelType w:val="hybridMultilevel"/>
    <w:tmpl w:val="905E0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27"/>
    <w:rsid w:val="0019472D"/>
    <w:rsid w:val="00406A1E"/>
    <w:rsid w:val="00543C27"/>
    <w:rsid w:val="005E0033"/>
    <w:rsid w:val="005E4222"/>
    <w:rsid w:val="006D1E55"/>
    <w:rsid w:val="00800089"/>
    <w:rsid w:val="00A7441E"/>
    <w:rsid w:val="00C80D77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C27"/>
    <w:pPr>
      <w:ind w:left="720"/>
      <w:contextualSpacing/>
    </w:pPr>
  </w:style>
  <w:style w:type="table" w:styleId="Mkatabulky">
    <w:name w:val="Table Grid"/>
    <w:basedOn w:val="Normlntabulka"/>
    <w:uiPriority w:val="59"/>
    <w:rsid w:val="00543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089"/>
  </w:style>
  <w:style w:type="paragraph" w:styleId="Zpat">
    <w:name w:val="footer"/>
    <w:basedOn w:val="Normln"/>
    <w:link w:val="ZpatChar"/>
    <w:uiPriority w:val="99"/>
    <w:unhideWhenUsed/>
    <w:rsid w:val="0080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089"/>
  </w:style>
  <w:style w:type="paragraph" w:styleId="Textbubliny">
    <w:name w:val="Balloon Text"/>
    <w:basedOn w:val="Normln"/>
    <w:link w:val="TextbublinyChar"/>
    <w:uiPriority w:val="99"/>
    <w:semiHidden/>
    <w:unhideWhenUsed/>
    <w:rsid w:val="0080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C27"/>
    <w:pPr>
      <w:ind w:left="720"/>
      <w:contextualSpacing/>
    </w:pPr>
  </w:style>
  <w:style w:type="table" w:styleId="Mkatabulky">
    <w:name w:val="Table Grid"/>
    <w:basedOn w:val="Normlntabulka"/>
    <w:uiPriority w:val="59"/>
    <w:rsid w:val="00543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089"/>
  </w:style>
  <w:style w:type="paragraph" w:styleId="Zpat">
    <w:name w:val="footer"/>
    <w:basedOn w:val="Normln"/>
    <w:link w:val="ZpatChar"/>
    <w:uiPriority w:val="99"/>
    <w:unhideWhenUsed/>
    <w:rsid w:val="0080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089"/>
  </w:style>
  <w:style w:type="paragraph" w:styleId="Textbubliny">
    <w:name w:val="Balloon Text"/>
    <w:basedOn w:val="Normln"/>
    <w:link w:val="TextbublinyChar"/>
    <w:uiPriority w:val="99"/>
    <w:semiHidden/>
    <w:unhideWhenUsed/>
    <w:rsid w:val="0080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2018-04-09T12:08:00Z</cp:lastPrinted>
  <dcterms:created xsi:type="dcterms:W3CDTF">2018-04-09T12:12:00Z</dcterms:created>
  <dcterms:modified xsi:type="dcterms:W3CDTF">2018-04-09T12:12:00Z</dcterms:modified>
</cp:coreProperties>
</file>